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0E59" w14:textId="77777777" w:rsidR="00216B52" w:rsidRDefault="00000000">
      <w:pPr>
        <w:pStyle w:val="Heading2"/>
      </w:pPr>
      <w:bookmarkStart w:id="0" w:name="heath-kamp"/>
      <w:r>
        <w:rPr>
          <w:b/>
          <w:bCs/>
        </w:rPr>
        <w:t>Heath Kamp</w:t>
      </w:r>
    </w:p>
    <w:p w14:paraId="14DD4EA4" w14:textId="77777777" w:rsidR="00216B52" w:rsidRDefault="00216B52">
      <w:pPr>
        <w:pStyle w:val="FirstParagraph"/>
      </w:pPr>
      <w:hyperlink r:id="rId5">
        <w:r>
          <w:rPr>
            <w:rStyle w:val="Hyperlink"/>
          </w:rPr>
          <w:t>https://www.linkedin.com/in/heathkamp/</w:t>
        </w:r>
      </w:hyperlink>
    </w:p>
    <w:p w14:paraId="091EA90C" w14:textId="77777777" w:rsidR="00216B52" w:rsidRDefault="00216B52">
      <w:pPr>
        <w:pStyle w:val="BodyText"/>
      </w:pPr>
      <w:hyperlink r:id="rId6">
        <w:r>
          <w:rPr>
            <w:rStyle w:val="Hyperlink"/>
          </w:rPr>
          <w:t>https://www.heathkamp.com/</w:t>
        </w:r>
      </w:hyperlink>
    </w:p>
    <w:p w14:paraId="7847DF10" w14:textId="3302D7F0" w:rsidR="00216B52" w:rsidRDefault="00965B78">
      <w:pPr>
        <w:pStyle w:val="Heading2"/>
      </w:pPr>
      <w:bookmarkStart w:id="1" w:name="acquisition-summary"/>
      <w:bookmarkEnd w:id="0"/>
      <w:r>
        <w:t>Executive</w:t>
      </w:r>
      <w:r w:rsidR="00000000">
        <w:t xml:space="preserve"> Summary</w:t>
      </w:r>
    </w:p>
    <w:p w14:paraId="7845615E" w14:textId="2A57F775" w:rsidR="00216B52" w:rsidRDefault="00965B78">
      <w:pPr>
        <w:pStyle w:val="FirstParagraph"/>
      </w:pPr>
      <w:r>
        <w:t>I am a</w:t>
      </w:r>
      <w:r w:rsidR="00000000">
        <w:t xml:space="preserve"> design leader who can rapidly crystallize vision, align stakeholders, and mobilize teams around a clear, compelling direction. Someone who brings instant clarity to ambiguity, sets the bar for craft and systems thinking, and inspires designers, product partners, and executives to commit fully to the path forward.</w:t>
      </w:r>
    </w:p>
    <w:p w14:paraId="18B55D65" w14:textId="77777777" w:rsidR="00216B52" w:rsidRDefault="00000000">
      <w:pPr>
        <w:pStyle w:val="Heading2"/>
      </w:pPr>
      <w:bookmarkStart w:id="2" w:name="brands-i-have-worked-with-directly"/>
      <w:bookmarkEnd w:id="1"/>
      <w:r>
        <w:t>Brands I Have Worked With Directly</w:t>
      </w:r>
    </w:p>
    <w:p w14:paraId="00CCA41E" w14:textId="77777777" w:rsidR="00216B52" w:rsidRDefault="00000000">
      <w:pPr>
        <w:pStyle w:val="FirstParagraph"/>
      </w:pPr>
      <w:r>
        <w:t>Amazon • PayPal • Walmart • Lowe’s • Bank of America • Wells Fargo • Motorola • UPMC • Farmers Insurance • Lockheed Martin • Disney • Coke • Ferrari • NFL • Nascar • NYC </w:t>
      </w:r>
    </w:p>
    <w:p w14:paraId="45C0BDC2" w14:textId="77777777" w:rsidR="00216B52" w:rsidRDefault="00000000">
      <w:pPr>
        <w:pStyle w:val="Heading2"/>
      </w:pPr>
      <w:bookmarkStart w:id="3" w:name="experience"/>
      <w:bookmarkEnd w:id="2"/>
      <w:r>
        <w:t>Experience</w:t>
      </w:r>
    </w:p>
    <w:p w14:paraId="0E3C916D" w14:textId="77777777" w:rsidR="00216B52" w:rsidRDefault="00000000">
      <w:pPr>
        <w:pStyle w:val="Heading3"/>
      </w:pPr>
      <w:bookmarkStart w:id="4" w:name="X365309f37353dee5f7c812557703f7551b1a4ff"/>
      <w:r>
        <w:t>Senior User Experience Manager — Lowe’s Companies Inc. (June 2021 – Present)</w:t>
      </w:r>
    </w:p>
    <w:p w14:paraId="44A3A849" w14:textId="77777777" w:rsidR="00216B52" w:rsidRDefault="00000000">
      <w:pPr>
        <w:pStyle w:val="Compact"/>
        <w:numPr>
          <w:ilvl w:val="0"/>
          <w:numId w:val="2"/>
        </w:numPr>
      </w:pPr>
      <w:r>
        <w:t xml:space="preserve">Lead experience strategy for a </w:t>
      </w:r>
      <w:r>
        <w:rPr>
          <w:b/>
          <w:bCs/>
        </w:rPr>
        <w:t>CFO-facing enterprise finance platform</w:t>
      </w:r>
      <w:r>
        <w:t>, spanning Sales Accounting, Cost Accounting, and AP matching for a Fortune 50 retailer</w:t>
      </w:r>
    </w:p>
    <w:p w14:paraId="557BE05F" w14:textId="60E5C700" w:rsidR="00216B52" w:rsidRDefault="00000000">
      <w:pPr>
        <w:pStyle w:val="Compact"/>
        <w:numPr>
          <w:ilvl w:val="0"/>
          <w:numId w:val="2"/>
        </w:numPr>
      </w:pPr>
      <w:r>
        <w:t xml:space="preserve">Modernizing legacy </w:t>
      </w:r>
      <w:r>
        <w:rPr>
          <w:b/>
          <w:bCs/>
        </w:rPr>
        <w:t>mainframe and Access</w:t>
      </w:r>
      <w:r w:rsidR="00965B78">
        <w:rPr>
          <w:b/>
          <w:bCs/>
        </w:rPr>
        <w:t xml:space="preserve"> </w:t>
      </w:r>
      <w:r>
        <w:rPr>
          <w:b/>
          <w:bCs/>
        </w:rPr>
        <w:t>based workflows</w:t>
      </w:r>
      <w:r>
        <w:t xml:space="preserve"> and replacing manual Excel</w:t>
      </w:r>
      <w:r w:rsidR="00965B78">
        <w:t xml:space="preserve"> </w:t>
      </w:r>
      <w:r>
        <w:t>driven processes with scalable, auditable digital systems</w:t>
      </w:r>
    </w:p>
    <w:p w14:paraId="0C5B6CEA" w14:textId="77777777" w:rsidR="00216B52" w:rsidRDefault="00000000">
      <w:pPr>
        <w:pStyle w:val="Compact"/>
        <w:numPr>
          <w:ilvl w:val="0"/>
          <w:numId w:val="2"/>
        </w:numPr>
      </w:pPr>
      <w:r>
        <w:t xml:space="preserve">Integrating </w:t>
      </w:r>
      <w:r>
        <w:rPr>
          <w:b/>
          <w:bCs/>
        </w:rPr>
        <w:t>AI-enabled workflows</w:t>
      </w:r>
      <w:r>
        <w:t xml:space="preserve"> to reduce reconciliation effort, surface anomalies, and accelerate close and reporting cycles</w:t>
      </w:r>
    </w:p>
    <w:p w14:paraId="2A6DFCAA" w14:textId="77777777" w:rsidR="00216B52" w:rsidRDefault="00000000">
      <w:pPr>
        <w:pStyle w:val="Compact"/>
        <w:numPr>
          <w:ilvl w:val="0"/>
          <w:numId w:val="2"/>
        </w:numPr>
      </w:pPr>
      <w:r>
        <w:t xml:space="preserve">Directly manage </w:t>
      </w:r>
      <w:r>
        <w:rPr>
          <w:b/>
          <w:bCs/>
        </w:rPr>
        <w:t>18 designers</w:t>
      </w:r>
      <w:r>
        <w:t xml:space="preserve"> (3 leads, 8 seniors, 5 mid-level, 2 associates); influence </w:t>
      </w:r>
      <w:r>
        <w:rPr>
          <w:b/>
          <w:bCs/>
        </w:rPr>
        <w:t>100+ designers</w:t>
      </w:r>
      <w:r>
        <w:t xml:space="preserve"> across finance, commerce, and platform teams</w:t>
      </w:r>
    </w:p>
    <w:p w14:paraId="5882CD50" w14:textId="77777777" w:rsidR="00216B52" w:rsidRDefault="00000000">
      <w:pPr>
        <w:pStyle w:val="Heading3"/>
      </w:pPr>
      <w:bookmarkStart w:id="5" w:name="Xaad5ef42fae9fd7755180666e6d9743248afc23"/>
      <w:bookmarkEnd w:id="4"/>
      <w:r>
        <w:rPr>
          <w:b/>
          <w:bCs/>
        </w:rPr>
        <w:t>Principal UX Architect — Bank of America (June 2020 – June 2021)</w:t>
      </w:r>
    </w:p>
    <w:p w14:paraId="2D0B61D0" w14:textId="77777777" w:rsidR="00216B52" w:rsidRDefault="00000000">
      <w:pPr>
        <w:pStyle w:val="Compact"/>
        <w:numPr>
          <w:ilvl w:val="0"/>
          <w:numId w:val="3"/>
        </w:numPr>
      </w:pPr>
      <w:r>
        <w:t>Led modernization of </w:t>
      </w:r>
      <w:r>
        <w:rPr>
          <w:b/>
          <w:bCs/>
        </w:rPr>
        <w:t>Global Regulatory Reporting (GRR)</w:t>
      </w:r>
      <w:r>
        <w:t> platforms across APAC, EMEA, and the Americas, supporting enterprise risk, finance, and compliance stakeholders</w:t>
      </w:r>
    </w:p>
    <w:p w14:paraId="28B423AF" w14:textId="77777777" w:rsidR="00216B52" w:rsidRDefault="00000000">
      <w:pPr>
        <w:pStyle w:val="Compact"/>
        <w:numPr>
          <w:ilvl w:val="0"/>
          <w:numId w:val="3"/>
        </w:numPr>
      </w:pPr>
      <w:r>
        <w:t>Defined and operationalized </w:t>
      </w:r>
      <w:r>
        <w:rPr>
          <w:b/>
          <w:bCs/>
        </w:rPr>
        <w:t>Non-Functional Reporting Requirements (NFRR)</w:t>
      </w:r>
      <w:r>
        <w:t>, establishing standards for data lineage, auditability, accuracy, timeliness, and regulatory defensibility</w:t>
      </w:r>
    </w:p>
    <w:p w14:paraId="21C9B01E" w14:textId="77777777" w:rsidR="00216B52" w:rsidRDefault="00000000">
      <w:pPr>
        <w:pStyle w:val="Compact"/>
        <w:numPr>
          <w:ilvl w:val="0"/>
          <w:numId w:val="3"/>
        </w:numPr>
      </w:pPr>
      <w:r>
        <w:t>Managed </w:t>
      </w:r>
      <w:r>
        <w:rPr>
          <w:b/>
          <w:bCs/>
        </w:rPr>
        <w:t>Infosys partnership</w:t>
      </w:r>
      <w:r>
        <w:t> (10 designers, 20 engineers), overseeing SOWs, delivery governance, and cross-region execution</w:t>
      </w:r>
    </w:p>
    <w:p w14:paraId="51762393" w14:textId="66725A07" w:rsidR="00216B52" w:rsidRDefault="00000000">
      <w:pPr>
        <w:pStyle w:val="Compact"/>
        <w:numPr>
          <w:ilvl w:val="0"/>
          <w:numId w:val="3"/>
        </w:numPr>
      </w:pPr>
      <w:r>
        <w:t>Digitized </w:t>
      </w:r>
      <w:r>
        <w:rPr>
          <w:b/>
          <w:bCs/>
        </w:rPr>
        <w:t>30+ manual regulatory reporting workflows</w:t>
      </w:r>
      <w:r>
        <w:t>, enabling end-to-end traceability and unlocking </w:t>
      </w:r>
      <w:r>
        <w:rPr>
          <w:b/>
          <w:bCs/>
        </w:rPr>
        <w:t>20M+ auditable data points</w:t>
      </w:r>
      <w:r>
        <w:t> for regulator</w:t>
      </w:r>
      <w:r w:rsidR="00965B78">
        <w:t xml:space="preserve"> </w:t>
      </w:r>
      <w:r>
        <w:t>ready reporting and executive decision</w:t>
      </w:r>
      <w:r w:rsidR="00965B78">
        <w:t xml:space="preserve"> </w:t>
      </w:r>
      <w:r>
        <w:t>making</w:t>
      </w:r>
    </w:p>
    <w:p w14:paraId="3C3F8C7A" w14:textId="77777777" w:rsidR="00216B52" w:rsidRDefault="00000000">
      <w:pPr>
        <w:pStyle w:val="Heading3"/>
      </w:pPr>
      <w:bookmarkStart w:id="6" w:name="X1442c0cc4c18a1f9780ff468be16ac853227a44"/>
      <w:bookmarkEnd w:id="5"/>
      <w:r>
        <w:lastRenderedPageBreak/>
        <w:t>UX Design Director — Paymentus (Jan 2018 – June 2020)</w:t>
      </w:r>
    </w:p>
    <w:p w14:paraId="6CFD087F" w14:textId="77777777" w:rsidR="00216B52" w:rsidRDefault="00000000">
      <w:pPr>
        <w:pStyle w:val="Compact"/>
        <w:numPr>
          <w:ilvl w:val="0"/>
          <w:numId w:val="4"/>
        </w:numPr>
      </w:pPr>
      <w:r>
        <w:t xml:space="preserve">Built and scaled an internal UX organization shaping experience strategy for a </w:t>
      </w:r>
      <w:r>
        <w:rPr>
          <w:b/>
          <w:bCs/>
        </w:rPr>
        <w:t>cloud-based Electronic Bill Presentment &amp; Payment (EBPP) platform</w:t>
      </w:r>
      <w:r>
        <w:t xml:space="preserve"> serving </w:t>
      </w:r>
      <w:r>
        <w:rPr>
          <w:b/>
          <w:bCs/>
        </w:rPr>
        <w:t>2,200+ enterprise billers</w:t>
      </w:r>
      <w:r>
        <w:t xml:space="preserve"> across utilities, financial services, insurance, and government</w:t>
      </w:r>
    </w:p>
    <w:p w14:paraId="423BEAB8" w14:textId="77777777" w:rsidR="00216B52" w:rsidRDefault="00000000">
      <w:pPr>
        <w:pStyle w:val="Compact"/>
        <w:numPr>
          <w:ilvl w:val="0"/>
          <w:numId w:val="4"/>
        </w:numPr>
      </w:pPr>
      <w:r>
        <w:t xml:space="preserve">Led UX direction for </w:t>
      </w:r>
      <w:r>
        <w:rPr>
          <w:b/>
          <w:bCs/>
        </w:rPr>
        <w:t>real-time, omni-channel payment and money movement workflows</w:t>
      </w:r>
      <w:r>
        <w:t xml:space="preserve">, supporting a platform processing </w:t>
      </w:r>
      <w:r>
        <w:rPr>
          <w:b/>
          <w:bCs/>
        </w:rPr>
        <w:t>450M+ payments annually</w:t>
      </w:r>
      <w:r>
        <w:t xml:space="preserve"> with </w:t>
      </w:r>
      <w:r>
        <w:rPr>
          <w:b/>
          <w:bCs/>
        </w:rPr>
        <w:t>30%+ year-over-year transaction growth</w:t>
      </w:r>
      <w:r>
        <w:t xml:space="preserve"> during tenure</w:t>
      </w:r>
    </w:p>
    <w:p w14:paraId="0FA874FB" w14:textId="77777777" w:rsidR="00216B52" w:rsidRDefault="00000000">
      <w:pPr>
        <w:pStyle w:val="Compact"/>
        <w:numPr>
          <w:ilvl w:val="0"/>
          <w:numId w:val="4"/>
        </w:numPr>
      </w:pPr>
      <w:r>
        <w:t xml:space="preserve">Defined and delivered </w:t>
      </w:r>
      <w:r>
        <w:rPr>
          <w:b/>
          <w:bCs/>
        </w:rPr>
        <w:t>modular design systems and governance</w:t>
      </w:r>
      <w:r>
        <w:t xml:space="preserve"> that standardized core payment, billing, and support patterns across a multi-tenant SaaS platform</w:t>
      </w:r>
    </w:p>
    <w:p w14:paraId="4C9C7662" w14:textId="77777777" w:rsidR="00216B52" w:rsidRDefault="00000000">
      <w:pPr>
        <w:pStyle w:val="Compact"/>
        <w:numPr>
          <w:ilvl w:val="0"/>
          <w:numId w:val="4"/>
        </w:numPr>
      </w:pPr>
      <w:r>
        <w:t xml:space="preserve">Reduced </w:t>
      </w:r>
      <w:r>
        <w:rPr>
          <w:b/>
          <w:bCs/>
        </w:rPr>
        <w:t>client support volume by 12%</w:t>
      </w:r>
      <w:r>
        <w:t xml:space="preserve"> by applying the design system to improve self-service, consistency, and error prevention—directly lowering cost-to-serve while improving enterprise client satisfaction</w:t>
      </w:r>
    </w:p>
    <w:p w14:paraId="29766618" w14:textId="77777777" w:rsidR="00216B52" w:rsidRDefault="00000000">
      <w:pPr>
        <w:pStyle w:val="Heading3"/>
      </w:pPr>
      <w:bookmarkStart w:id="7" w:name="X25cdcb50a0bada81b673b630ab34b329a97e1b5"/>
      <w:bookmarkEnd w:id="6"/>
      <w:r>
        <w:t>Senior Lead UX Designer — Wells Fargo (Jan 2012 – Dec 2017)</w:t>
      </w:r>
    </w:p>
    <w:p w14:paraId="3E376E0D" w14:textId="77777777" w:rsidR="00216B52" w:rsidRDefault="00000000">
      <w:pPr>
        <w:pStyle w:val="Compact"/>
        <w:numPr>
          <w:ilvl w:val="0"/>
          <w:numId w:val="5"/>
        </w:numPr>
      </w:pPr>
      <w:r>
        <w:t xml:space="preserve">Led end-to-end UX design for </w:t>
      </w:r>
      <w:r>
        <w:rPr>
          <w:b/>
          <w:bCs/>
        </w:rPr>
        <w:t>Card Services, Wallet, Control Tower, Online Fraud Disputes, and Mobile Deposit</w:t>
      </w:r>
      <w:r>
        <w:t>, focusing on customer control, trust, and financial transparency</w:t>
      </w:r>
    </w:p>
    <w:p w14:paraId="6F85BF90" w14:textId="77777777" w:rsidR="00216B52" w:rsidRDefault="00000000">
      <w:pPr>
        <w:pStyle w:val="Compact"/>
        <w:numPr>
          <w:ilvl w:val="0"/>
          <w:numId w:val="5"/>
        </w:numPr>
      </w:pPr>
      <w:r>
        <w:t xml:space="preserve">Served as interaction design and governance leader across a </w:t>
      </w:r>
      <w:r>
        <w:rPr>
          <w:b/>
          <w:bCs/>
        </w:rPr>
        <w:t>115+ designer organization</w:t>
      </w:r>
      <w:r>
        <w:t>, setting standards for consistency, accessibility, and scalable design execution</w:t>
      </w:r>
    </w:p>
    <w:p w14:paraId="7912E527" w14:textId="1AA66BAA" w:rsidR="00216B52" w:rsidRDefault="00000000">
      <w:pPr>
        <w:pStyle w:val="Compact"/>
        <w:numPr>
          <w:ilvl w:val="0"/>
          <w:numId w:val="5"/>
        </w:numPr>
      </w:pPr>
      <w:r>
        <w:t xml:space="preserve">Designed the original </w:t>
      </w:r>
      <w:r>
        <w:rPr>
          <w:b/>
          <w:bCs/>
        </w:rPr>
        <w:t>Mobile Deposit</w:t>
      </w:r>
      <w:r>
        <w:t xml:space="preserve"> experience adopted by </w:t>
      </w:r>
      <w:r>
        <w:rPr>
          <w:b/>
          <w:bCs/>
        </w:rPr>
        <w:t>22M customers</w:t>
      </w:r>
      <w:r>
        <w:t xml:space="preserve">, contributing to a sustained </w:t>
      </w:r>
      <w:r>
        <w:rPr>
          <w:b/>
          <w:bCs/>
        </w:rPr>
        <w:t>22% KPI lift</w:t>
      </w:r>
      <w:r>
        <w:t xml:space="preserve"> and top</w:t>
      </w:r>
      <w:r w:rsidR="00B70826">
        <w:t xml:space="preserve"> </w:t>
      </w:r>
      <w:r>
        <w:t>tier industry rankings for mobile deposit UX</w:t>
      </w:r>
    </w:p>
    <w:p w14:paraId="64EE144F" w14:textId="77777777" w:rsidR="00216B52" w:rsidRDefault="00000000">
      <w:pPr>
        <w:pStyle w:val="Heading3"/>
      </w:pPr>
      <w:bookmarkStart w:id="8" w:name="earlier-experience"/>
      <w:bookmarkEnd w:id="7"/>
      <w:r>
        <w:t>Earlier Experience</w:t>
      </w:r>
    </w:p>
    <w:p w14:paraId="1C8E0061" w14:textId="77777777" w:rsidR="00216B52" w:rsidRDefault="00000000">
      <w:pPr>
        <w:pStyle w:val="Compact"/>
        <w:numPr>
          <w:ilvl w:val="0"/>
          <w:numId w:val="6"/>
        </w:numPr>
      </w:pPr>
      <w:r>
        <w:rPr>
          <w:b/>
          <w:bCs/>
        </w:rPr>
        <w:t>Senior Team Lead &amp; UI Designer — Motorola</w:t>
      </w:r>
      <w:r>
        <w:t xml:space="preserve"> (2007 – 2012)</w:t>
      </w:r>
    </w:p>
    <w:p w14:paraId="0EB14F60" w14:textId="77777777" w:rsidR="00216B52" w:rsidRDefault="00000000">
      <w:pPr>
        <w:pStyle w:val="Compact"/>
        <w:numPr>
          <w:ilvl w:val="0"/>
          <w:numId w:val="6"/>
        </w:numPr>
      </w:pPr>
      <w:r>
        <w:rPr>
          <w:b/>
          <w:bCs/>
        </w:rPr>
        <w:t>Lead User Interface Designer — Pininfarina</w:t>
      </w:r>
      <w:r>
        <w:t xml:space="preserve"> (2004 – 2007)</w:t>
      </w:r>
    </w:p>
    <w:p w14:paraId="433EC9F3" w14:textId="3C0FDA11" w:rsidR="00216B52" w:rsidRDefault="00000000">
      <w:pPr>
        <w:pStyle w:val="Compact"/>
        <w:numPr>
          <w:ilvl w:val="0"/>
          <w:numId w:val="6"/>
        </w:numPr>
      </w:pPr>
      <w:r>
        <w:rPr>
          <w:b/>
          <w:bCs/>
        </w:rPr>
        <w:t xml:space="preserve">Graphic &amp; User Interface Designer — </w:t>
      </w:r>
      <w:r w:rsidR="008F2310">
        <w:rPr>
          <w:b/>
          <w:bCs/>
        </w:rPr>
        <w:t>Motorola</w:t>
      </w:r>
      <w:r>
        <w:t xml:space="preserve"> (2002 – 2004)</w:t>
      </w:r>
    </w:p>
    <w:p w14:paraId="5AD65255" w14:textId="77777777" w:rsidR="00216B52" w:rsidRDefault="00000000">
      <w:pPr>
        <w:pStyle w:val="Compact"/>
        <w:numPr>
          <w:ilvl w:val="0"/>
          <w:numId w:val="6"/>
        </w:numPr>
      </w:pPr>
      <w:r>
        <w:rPr>
          <w:b/>
          <w:bCs/>
        </w:rPr>
        <w:t>User Guide &amp; UI Designer — Technisource</w:t>
      </w:r>
      <w:r>
        <w:t xml:space="preserve"> (2001 – 2002)</w:t>
      </w:r>
    </w:p>
    <w:p w14:paraId="6B2165A9" w14:textId="77777777" w:rsidR="00216B52" w:rsidRDefault="00000000">
      <w:pPr>
        <w:pStyle w:val="Compact"/>
        <w:numPr>
          <w:ilvl w:val="0"/>
          <w:numId w:val="6"/>
        </w:numPr>
      </w:pPr>
      <w:r>
        <w:rPr>
          <w:b/>
          <w:bCs/>
        </w:rPr>
        <w:t>3D Modeler &amp; User Environment Designer — Lockheed Martin</w:t>
      </w:r>
      <w:r>
        <w:t xml:space="preserve"> (2000 – 2001)</w:t>
      </w:r>
    </w:p>
    <w:p w14:paraId="7B45FBFA" w14:textId="77777777" w:rsidR="00216B52" w:rsidRDefault="00000000">
      <w:pPr>
        <w:pStyle w:val="Heading2"/>
      </w:pPr>
      <w:bookmarkStart w:id="9" w:name="education"/>
      <w:bookmarkEnd w:id="3"/>
      <w:bookmarkEnd w:id="8"/>
      <w:r>
        <w:t>Education</w:t>
      </w:r>
    </w:p>
    <w:p w14:paraId="46E0A220" w14:textId="77777777" w:rsidR="00216B52" w:rsidRDefault="00000000">
      <w:pPr>
        <w:pStyle w:val="FirstParagraph"/>
      </w:pPr>
      <w:r>
        <w:rPr>
          <w:b/>
          <w:bCs/>
        </w:rPr>
        <w:t>University of Central Florida — Orlando, FL</w:t>
      </w:r>
      <w:r>
        <w:br/>
        <w:t>Bachelor of Arts (BA), 2000</w:t>
      </w:r>
      <w:r>
        <w:br/>
        <w:t>Major: Advertising &amp; Public Relations Media</w:t>
      </w:r>
      <w:r>
        <w:br/>
        <w:t>Minor: Asian Studies, Graphic Design</w:t>
      </w:r>
      <w:bookmarkEnd w:id="9"/>
    </w:p>
    <w:sectPr w:rsidR="00216B5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9623C4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51218D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625087274">
    <w:abstractNumId w:val="0"/>
  </w:num>
  <w:num w:numId="2" w16cid:durableId="449206287">
    <w:abstractNumId w:val="1"/>
  </w:num>
  <w:num w:numId="3" w16cid:durableId="824511309">
    <w:abstractNumId w:val="1"/>
  </w:num>
  <w:num w:numId="4" w16cid:durableId="214778122">
    <w:abstractNumId w:val="1"/>
  </w:num>
  <w:num w:numId="5" w16cid:durableId="791292059">
    <w:abstractNumId w:val="1"/>
  </w:num>
  <w:num w:numId="6" w16cid:durableId="158756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216B52"/>
    <w:rsid w:val="00193731"/>
    <w:rsid w:val="00216B52"/>
    <w:rsid w:val="008F2310"/>
    <w:rsid w:val="00965B78"/>
    <w:rsid w:val="00B70826"/>
    <w:rsid w:val="00E3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E8D4AF"/>
  <w15:docId w15:val="{239E2E46-1519-AC40-9717-6F90B7F8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thkamp.com/" TargetMode="External"/><Relationship Id="rId5" Type="http://schemas.openxmlformats.org/officeDocument/2006/relationships/hyperlink" Target="https://www.linkedin.com/in/heathk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522</Words>
  <Characters>3493</Characters>
  <Application>Microsoft Office Word</Application>
  <DocSecurity>0</DocSecurity>
  <Lines>71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Heath Kamp</cp:lastModifiedBy>
  <cp:revision>4</cp:revision>
  <dcterms:created xsi:type="dcterms:W3CDTF">2026-01-11T01:20:00Z</dcterms:created>
  <dcterms:modified xsi:type="dcterms:W3CDTF">2026-01-17T16:47:00Z</dcterms:modified>
</cp:coreProperties>
</file>